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49" w:rsidRDefault="004F4A49">
      <w:pPr>
        <w:spacing w:line="480" w:lineRule="auto"/>
        <w:jc w:val="center"/>
        <w:rPr>
          <w:rFonts w:ascii="方正小标宋简体" w:eastAsia="方正小标宋简体" w:hAnsi="仿宋"/>
          <w:sz w:val="32"/>
          <w:szCs w:val="32"/>
        </w:rPr>
      </w:pPr>
    </w:p>
    <w:p w:rsidR="004F4A49" w:rsidRDefault="006F327C">
      <w:pPr>
        <w:spacing w:line="480" w:lineRule="auto"/>
        <w:jc w:val="center"/>
        <w:rPr>
          <w:rFonts w:ascii="黑体" w:eastAsia="黑体" w:hAnsi="黑体"/>
          <w:sz w:val="44"/>
          <w:szCs w:val="44"/>
        </w:rPr>
      </w:pPr>
      <w:bookmarkStart w:id="0" w:name="_Hlk513108820"/>
      <w:r>
        <w:rPr>
          <w:rFonts w:ascii="黑体" w:eastAsia="黑体" w:hAnsi="黑体" w:hint="eastAsia"/>
          <w:sz w:val="44"/>
          <w:szCs w:val="44"/>
        </w:rPr>
        <w:t>湖北省</w:t>
      </w:r>
      <w:bookmarkEnd w:id="0"/>
      <w:r>
        <w:rPr>
          <w:rFonts w:ascii="黑体" w:eastAsia="黑体" w:hAnsi="黑体" w:hint="eastAsia"/>
          <w:sz w:val="44"/>
          <w:szCs w:val="44"/>
        </w:rPr>
        <w:t>作家协会</w:t>
      </w:r>
    </w:p>
    <w:p w:rsidR="004F4A49" w:rsidRDefault="006F327C">
      <w:pPr>
        <w:spacing w:line="480" w:lineRule="auto"/>
        <w:jc w:val="center"/>
        <w:rPr>
          <w:rFonts w:ascii="黑体" w:eastAsia="黑体" w:hAnsi="黑体"/>
          <w:sz w:val="44"/>
          <w:szCs w:val="44"/>
        </w:rPr>
      </w:pPr>
      <w:r>
        <w:rPr>
          <w:rFonts w:ascii="黑体" w:eastAsia="黑体" w:hAnsi="黑体" w:hint="eastAsia"/>
          <w:sz w:val="44"/>
          <w:szCs w:val="44"/>
        </w:rPr>
        <w:t>2018年省直部门整体支出</w:t>
      </w:r>
    </w:p>
    <w:p w:rsidR="004F4A49" w:rsidRDefault="006F327C">
      <w:pPr>
        <w:spacing w:line="480" w:lineRule="auto"/>
        <w:jc w:val="center"/>
        <w:rPr>
          <w:rFonts w:ascii="黑体" w:eastAsia="黑体" w:hAnsi="黑体"/>
          <w:sz w:val="44"/>
          <w:szCs w:val="44"/>
        </w:rPr>
      </w:pPr>
      <w:r>
        <w:rPr>
          <w:rFonts w:ascii="黑体" w:eastAsia="黑体" w:hAnsi="黑体" w:hint="eastAsia"/>
          <w:sz w:val="44"/>
          <w:szCs w:val="44"/>
        </w:rPr>
        <w:t>绩效自评报告</w:t>
      </w:r>
    </w:p>
    <w:p w:rsidR="004F4A49" w:rsidRDefault="004F4A49">
      <w:pPr>
        <w:spacing w:line="480" w:lineRule="auto"/>
        <w:ind w:firstLineChars="200" w:firstLine="640"/>
        <w:jc w:val="center"/>
        <w:rPr>
          <w:rFonts w:ascii="方正小标宋简体" w:eastAsia="方正小标宋简体" w:hAnsi="仿宋"/>
          <w:sz w:val="32"/>
          <w:szCs w:val="32"/>
        </w:rPr>
      </w:pPr>
    </w:p>
    <w:p w:rsidR="004F4A49" w:rsidRDefault="00980B20" w:rsidP="00980B20">
      <w:pPr>
        <w:spacing w:line="480" w:lineRule="auto"/>
        <w:ind w:left="640"/>
        <w:jc w:val="left"/>
        <w:rPr>
          <w:rFonts w:ascii="黑体" w:eastAsia="黑体" w:hAnsi="黑体"/>
          <w:sz w:val="32"/>
          <w:szCs w:val="32"/>
        </w:rPr>
      </w:pPr>
      <w:r>
        <w:rPr>
          <w:rFonts w:ascii="黑体" w:eastAsia="黑体" w:hAnsi="黑体" w:hint="eastAsia"/>
          <w:sz w:val="32"/>
          <w:szCs w:val="32"/>
        </w:rPr>
        <w:t>一、</w:t>
      </w:r>
      <w:r w:rsidR="006F327C">
        <w:rPr>
          <w:rFonts w:ascii="黑体" w:eastAsia="黑体" w:hAnsi="黑体" w:hint="eastAsia"/>
          <w:sz w:val="32"/>
          <w:szCs w:val="32"/>
        </w:rPr>
        <w:t>绩效自评结论</w:t>
      </w:r>
    </w:p>
    <w:p w:rsidR="004F4A49" w:rsidRDefault="006F327C" w:rsidP="006F327C">
      <w:pPr>
        <w:spacing w:line="560" w:lineRule="exact"/>
        <w:ind w:rightChars="20" w:right="42" w:firstLineChars="200" w:firstLine="640"/>
        <w:rPr>
          <w:rFonts w:ascii="黑体" w:eastAsia="黑体" w:hAnsi="黑体"/>
          <w:sz w:val="32"/>
          <w:szCs w:val="32"/>
        </w:rPr>
      </w:pPr>
      <w:r>
        <w:rPr>
          <w:rFonts w:ascii="仿宋" w:eastAsia="仿宋" w:hAnsi="仿宋" w:hint="eastAsia"/>
          <w:sz w:val="32"/>
          <w:szCs w:val="32"/>
        </w:rPr>
        <w:t>本次整体支出绩效自评结果为“优”。我会整体支出符合国家相关政策，资金管理有效，产出较好，社会效益显著。</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125"/>
        <w:gridCol w:w="1397"/>
        <w:gridCol w:w="1399"/>
        <w:gridCol w:w="1399"/>
        <w:gridCol w:w="1625"/>
      </w:tblGrid>
      <w:tr w:rsidR="004F4A49">
        <w:trPr>
          <w:trHeight w:val="624"/>
          <w:tblHeader/>
        </w:trPr>
        <w:tc>
          <w:tcPr>
            <w:tcW w:w="1668" w:type="dxa"/>
            <w:vAlign w:val="center"/>
          </w:tcPr>
          <w:p w:rsidR="004F4A49" w:rsidRDefault="006F327C" w:rsidP="006F327C">
            <w:pPr>
              <w:widowControl/>
              <w:spacing w:line="560" w:lineRule="exact"/>
              <w:jc w:val="center"/>
              <w:rPr>
                <w:rFonts w:ascii="仿宋" w:eastAsia="仿宋" w:hAnsi="仿宋" w:cs="宋体"/>
                <w:b/>
                <w:kern w:val="0"/>
                <w:sz w:val="24"/>
              </w:rPr>
            </w:pPr>
            <w:bookmarkStart w:id="1" w:name="_Hlk511812022"/>
            <w:r>
              <w:rPr>
                <w:rFonts w:ascii="仿宋" w:eastAsia="仿宋" w:hAnsi="仿宋" w:cs="宋体" w:hint="eastAsia"/>
                <w:b/>
                <w:kern w:val="0"/>
                <w:sz w:val="24"/>
              </w:rPr>
              <w:t>评价指标</w:t>
            </w:r>
          </w:p>
        </w:tc>
        <w:tc>
          <w:tcPr>
            <w:tcW w:w="1125" w:type="dxa"/>
            <w:vAlign w:val="center"/>
          </w:tcPr>
          <w:p w:rsidR="004F4A49" w:rsidRDefault="006F327C" w:rsidP="006F327C">
            <w:pPr>
              <w:widowControl/>
              <w:spacing w:line="560" w:lineRule="exact"/>
              <w:jc w:val="center"/>
              <w:rPr>
                <w:rFonts w:ascii="仿宋" w:eastAsia="仿宋" w:hAnsi="仿宋" w:cs="宋体"/>
                <w:b/>
                <w:kern w:val="0"/>
                <w:sz w:val="24"/>
              </w:rPr>
            </w:pPr>
            <w:r>
              <w:rPr>
                <w:rFonts w:ascii="仿宋" w:eastAsia="仿宋" w:hAnsi="仿宋" w:cs="宋体" w:hint="eastAsia"/>
                <w:b/>
                <w:kern w:val="0"/>
                <w:sz w:val="24"/>
              </w:rPr>
              <w:t>权重</w:t>
            </w:r>
          </w:p>
        </w:tc>
        <w:tc>
          <w:tcPr>
            <w:tcW w:w="1397" w:type="dxa"/>
            <w:vAlign w:val="center"/>
          </w:tcPr>
          <w:p w:rsidR="004F4A49" w:rsidRDefault="006F327C" w:rsidP="006F327C">
            <w:pPr>
              <w:widowControl/>
              <w:spacing w:line="560" w:lineRule="exact"/>
              <w:jc w:val="center"/>
              <w:rPr>
                <w:rFonts w:ascii="仿宋" w:eastAsia="仿宋" w:hAnsi="仿宋" w:cs="宋体"/>
                <w:b/>
                <w:kern w:val="0"/>
                <w:sz w:val="24"/>
              </w:rPr>
            </w:pPr>
            <w:r>
              <w:rPr>
                <w:rFonts w:ascii="仿宋" w:eastAsia="仿宋" w:hAnsi="仿宋" w:cs="宋体" w:hint="eastAsia"/>
                <w:b/>
                <w:kern w:val="0"/>
                <w:sz w:val="24"/>
              </w:rPr>
              <w:t>评级分值</w:t>
            </w:r>
          </w:p>
        </w:tc>
        <w:tc>
          <w:tcPr>
            <w:tcW w:w="1399" w:type="dxa"/>
            <w:vAlign w:val="center"/>
          </w:tcPr>
          <w:p w:rsidR="004F4A49" w:rsidRDefault="006F327C" w:rsidP="006F327C">
            <w:pPr>
              <w:widowControl/>
              <w:spacing w:line="560" w:lineRule="exact"/>
              <w:jc w:val="center"/>
              <w:rPr>
                <w:rFonts w:ascii="仿宋" w:eastAsia="仿宋" w:hAnsi="仿宋" w:cs="宋体"/>
                <w:b/>
                <w:kern w:val="0"/>
                <w:sz w:val="24"/>
              </w:rPr>
            </w:pPr>
            <w:r>
              <w:rPr>
                <w:rFonts w:ascii="仿宋" w:eastAsia="仿宋" w:hAnsi="仿宋" w:cs="宋体" w:hint="eastAsia"/>
                <w:b/>
                <w:kern w:val="0"/>
                <w:sz w:val="24"/>
              </w:rPr>
              <w:t>项目得分</w:t>
            </w:r>
          </w:p>
        </w:tc>
        <w:tc>
          <w:tcPr>
            <w:tcW w:w="1399" w:type="dxa"/>
            <w:vAlign w:val="center"/>
          </w:tcPr>
          <w:p w:rsidR="004F4A49" w:rsidRDefault="006F327C" w:rsidP="006F327C">
            <w:pPr>
              <w:widowControl/>
              <w:spacing w:line="560" w:lineRule="exact"/>
              <w:jc w:val="center"/>
              <w:rPr>
                <w:rFonts w:ascii="仿宋" w:eastAsia="仿宋" w:hAnsi="仿宋" w:cs="宋体"/>
                <w:b/>
                <w:kern w:val="0"/>
                <w:sz w:val="24"/>
              </w:rPr>
            </w:pPr>
            <w:r>
              <w:rPr>
                <w:rFonts w:ascii="仿宋" w:eastAsia="仿宋" w:hAnsi="仿宋" w:cs="宋体" w:hint="eastAsia"/>
                <w:b/>
                <w:kern w:val="0"/>
                <w:sz w:val="24"/>
              </w:rPr>
              <w:t>得分率</w:t>
            </w:r>
          </w:p>
        </w:tc>
        <w:tc>
          <w:tcPr>
            <w:tcW w:w="1625" w:type="dxa"/>
            <w:vAlign w:val="center"/>
          </w:tcPr>
          <w:p w:rsidR="004F4A49" w:rsidRDefault="006F327C" w:rsidP="006F327C">
            <w:pPr>
              <w:widowControl/>
              <w:spacing w:line="560" w:lineRule="exact"/>
              <w:jc w:val="center"/>
              <w:rPr>
                <w:rFonts w:ascii="仿宋" w:eastAsia="仿宋" w:hAnsi="仿宋" w:cs="宋体"/>
                <w:b/>
                <w:kern w:val="0"/>
                <w:sz w:val="24"/>
              </w:rPr>
            </w:pPr>
            <w:r>
              <w:rPr>
                <w:rFonts w:ascii="仿宋" w:eastAsia="仿宋" w:hAnsi="仿宋" w:cs="宋体" w:hint="eastAsia"/>
                <w:b/>
                <w:kern w:val="0"/>
                <w:sz w:val="24"/>
              </w:rPr>
              <w:t>得分等级</w:t>
            </w:r>
          </w:p>
        </w:tc>
      </w:tr>
      <w:tr w:rsidR="004F4A49">
        <w:trPr>
          <w:trHeight w:val="624"/>
        </w:trPr>
        <w:tc>
          <w:tcPr>
            <w:tcW w:w="1668"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预算管理</w:t>
            </w:r>
          </w:p>
        </w:tc>
        <w:tc>
          <w:tcPr>
            <w:tcW w:w="1125"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kern w:val="0"/>
                <w:sz w:val="24"/>
              </w:rPr>
              <w:t>20</w:t>
            </w:r>
            <w:r>
              <w:rPr>
                <w:rFonts w:ascii="仿宋" w:eastAsia="仿宋" w:hAnsi="仿宋" w:cs="宋体" w:hint="eastAsia"/>
                <w:kern w:val="0"/>
                <w:sz w:val="24"/>
              </w:rPr>
              <w:t>%</w:t>
            </w:r>
          </w:p>
        </w:tc>
        <w:tc>
          <w:tcPr>
            <w:tcW w:w="1397"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kern w:val="0"/>
                <w:sz w:val="24"/>
              </w:rPr>
              <w:t>20</w:t>
            </w:r>
          </w:p>
        </w:tc>
        <w:tc>
          <w:tcPr>
            <w:tcW w:w="1399" w:type="dxa"/>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19.6</w:t>
            </w:r>
          </w:p>
        </w:tc>
        <w:tc>
          <w:tcPr>
            <w:tcW w:w="1399"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98%</w:t>
            </w:r>
          </w:p>
        </w:tc>
        <w:tc>
          <w:tcPr>
            <w:tcW w:w="1625"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优</w:t>
            </w:r>
          </w:p>
        </w:tc>
      </w:tr>
      <w:tr w:rsidR="004F4A49">
        <w:trPr>
          <w:trHeight w:val="624"/>
        </w:trPr>
        <w:tc>
          <w:tcPr>
            <w:tcW w:w="1668"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项目产出</w:t>
            </w:r>
          </w:p>
        </w:tc>
        <w:tc>
          <w:tcPr>
            <w:tcW w:w="1125"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47%</w:t>
            </w:r>
          </w:p>
        </w:tc>
        <w:tc>
          <w:tcPr>
            <w:tcW w:w="1397"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47</w:t>
            </w:r>
          </w:p>
        </w:tc>
        <w:tc>
          <w:tcPr>
            <w:tcW w:w="1399" w:type="dxa"/>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42</w:t>
            </w:r>
          </w:p>
        </w:tc>
        <w:tc>
          <w:tcPr>
            <w:tcW w:w="1399"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89%</w:t>
            </w:r>
          </w:p>
        </w:tc>
        <w:tc>
          <w:tcPr>
            <w:tcW w:w="1625"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良</w:t>
            </w:r>
          </w:p>
        </w:tc>
      </w:tr>
      <w:tr w:rsidR="004F4A49">
        <w:trPr>
          <w:trHeight w:val="624"/>
        </w:trPr>
        <w:tc>
          <w:tcPr>
            <w:tcW w:w="1668"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项目效益</w:t>
            </w:r>
          </w:p>
        </w:tc>
        <w:tc>
          <w:tcPr>
            <w:tcW w:w="1125"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33%</w:t>
            </w:r>
          </w:p>
        </w:tc>
        <w:tc>
          <w:tcPr>
            <w:tcW w:w="1397"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33</w:t>
            </w:r>
          </w:p>
        </w:tc>
        <w:tc>
          <w:tcPr>
            <w:tcW w:w="1399" w:type="dxa"/>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33</w:t>
            </w:r>
          </w:p>
        </w:tc>
        <w:tc>
          <w:tcPr>
            <w:tcW w:w="1399"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100%</w:t>
            </w:r>
          </w:p>
        </w:tc>
        <w:tc>
          <w:tcPr>
            <w:tcW w:w="1625"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优</w:t>
            </w:r>
          </w:p>
        </w:tc>
      </w:tr>
      <w:tr w:rsidR="004F4A49">
        <w:trPr>
          <w:trHeight w:val="624"/>
        </w:trPr>
        <w:tc>
          <w:tcPr>
            <w:tcW w:w="1668"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约束性指标</w:t>
            </w:r>
          </w:p>
        </w:tc>
        <w:tc>
          <w:tcPr>
            <w:tcW w:w="1125" w:type="dxa"/>
            <w:vAlign w:val="center"/>
          </w:tcPr>
          <w:p w:rsidR="004F4A49" w:rsidRDefault="004F4A49" w:rsidP="006F327C">
            <w:pPr>
              <w:widowControl/>
              <w:spacing w:line="560" w:lineRule="exact"/>
              <w:jc w:val="center"/>
              <w:rPr>
                <w:rFonts w:ascii="仿宋" w:eastAsia="仿宋" w:hAnsi="仿宋" w:cs="宋体"/>
                <w:kern w:val="0"/>
                <w:sz w:val="24"/>
              </w:rPr>
            </w:pPr>
          </w:p>
        </w:tc>
        <w:tc>
          <w:tcPr>
            <w:tcW w:w="1397" w:type="dxa"/>
            <w:vAlign w:val="center"/>
          </w:tcPr>
          <w:p w:rsidR="004F4A49" w:rsidRDefault="004F4A49" w:rsidP="006F327C">
            <w:pPr>
              <w:widowControl/>
              <w:spacing w:line="560" w:lineRule="exact"/>
              <w:jc w:val="center"/>
              <w:rPr>
                <w:rFonts w:ascii="仿宋" w:eastAsia="仿宋" w:hAnsi="仿宋" w:cs="宋体"/>
                <w:kern w:val="0"/>
                <w:sz w:val="24"/>
              </w:rPr>
            </w:pPr>
          </w:p>
        </w:tc>
        <w:tc>
          <w:tcPr>
            <w:tcW w:w="1399" w:type="dxa"/>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0</w:t>
            </w:r>
          </w:p>
        </w:tc>
        <w:tc>
          <w:tcPr>
            <w:tcW w:w="1399" w:type="dxa"/>
            <w:vAlign w:val="center"/>
          </w:tcPr>
          <w:p w:rsidR="004F4A49" w:rsidRDefault="004F4A49" w:rsidP="006F327C">
            <w:pPr>
              <w:widowControl/>
              <w:spacing w:line="560" w:lineRule="exact"/>
              <w:jc w:val="center"/>
              <w:rPr>
                <w:rFonts w:ascii="仿宋" w:eastAsia="仿宋" w:hAnsi="仿宋" w:cs="宋体"/>
                <w:kern w:val="0"/>
                <w:sz w:val="24"/>
              </w:rPr>
            </w:pPr>
          </w:p>
        </w:tc>
        <w:tc>
          <w:tcPr>
            <w:tcW w:w="1625" w:type="dxa"/>
            <w:vAlign w:val="center"/>
          </w:tcPr>
          <w:p w:rsidR="004F4A49" w:rsidRDefault="004F4A49" w:rsidP="006F327C">
            <w:pPr>
              <w:widowControl/>
              <w:spacing w:line="560" w:lineRule="exact"/>
              <w:jc w:val="center"/>
              <w:rPr>
                <w:rFonts w:ascii="仿宋" w:eastAsia="仿宋" w:hAnsi="仿宋" w:cs="宋体"/>
                <w:kern w:val="0"/>
                <w:sz w:val="24"/>
              </w:rPr>
            </w:pPr>
          </w:p>
        </w:tc>
      </w:tr>
      <w:tr w:rsidR="004F4A49">
        <w:trPr>
          <w:trHeight w:val="624"/>
        </w:trPr>
        <w:tc>
          <w:tcPr>
            <w:tcW w:w="1668"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综合绩效</w:t>
            </w:r>
          </w:p>
        </w:tc>
        <w:tc>
          <w:tcPr>
            <w:tcW w:w="1125"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100%</w:t>
            </w:r>
          </w:p>
        </w:tc>
        <w:tc>
          <w:tcPr>
            <w:tcW w:w="1397"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100</w:t>
            </w:r>
          </w:p>
        </w:tc>
        <w:tc>
          <w:tcPr>
            <w:tcW w:w="1399" w:type="dxa"/>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94.6</w:t>
            </w:r>
          </w:p>
        </w:tc>
        <w:tc>
          <w:tcPr>
            <w:tcW w:w="1399"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94.6%</w:t>
            </w:r>
          </w:p>
        </w:tc>
        <w:tc>
          <w:tcPr>
            <w:tcW w:w="1625" w:type="dxa"/>
            <w:vAlign w:val="center"/>
          </w:tcPr>
          <w:p w:rsidR="004F4A49" w:rsidRDefault="006F327C" w:rsidP="006F327C">
            <w:pPr>
              <w:widowControl/>
              <w:spacing w:line="560" w:lineRule="exact"/>
              <w:jc w:val="center"/>
              <w:rPr>
                <w:rFonts w:ascii="仿宋" w:eastAsia="仿宋" w:hAnsi="仿宋" w:cs="宋体"/>
                <w:kern w:val="0"/>
                <w:sz w:val="24"/>
              </w:rPr>
            </w:pPr>
            <w:r>
              <w:rPr>
                <w:rFonts w:ascii="仿宋" w:eastAsia="仿宋" w:hAnsi="仿宋" w:cs="宋体" w:hint="eastAsia"/>
                <w:kern w:val="0"/>
                <w:sz w:val="24"/>
              </w:rPr>
              <w:t>优</w:t>
            </w:r>
          </w:p>
        </w:tc>
      </w:tr>
    </w:tbl>
    <w:p w:rsidR="004F4A49" w:rsidRDefault="00C54723" w:rsidP="006F327C">
      <w:pPr>
        <w:spacing w:line="560" w:lineRule="exact"/>
        <w:ind w:rightChars="20" w:right="42" w:firstLineChars="200" w:firstLine="640"/>
        <w:rPr>
          <w:rFonts w:ascii="仿宋" w:eastAsia="仿宋" w:hAnsi="仿宋" w:cs="仿宋"/>
          <w:sz w:val="32"/>
          <w:szCs w:val="32"/>
        </w:rPr>
      </w:pPr>
      <w:r>
        <w:rPr>
          <w:rFonts w:ascii="仿宋" w:eastAsia="仿宋" w:hAnsi="仿宋" w:hint="eastAsia"/>
          <w:sz w:val="32"/>
          <w:szCs w:val="32"/>
        </w:rPr>
        <w:t>从预算管理来看，我会整体支出预算执行情况为“优”。</w:t>
      </w:r>
      <w:r>
        <w:rPr>
          <w:rFonts w:ascii="仿宋" w:eastAsia="仿宋" w:hAnsi="仿宋" w:cs="仿宋" w:hint="eastAsia"/>
          <w:sz w:val="32"/>
          <w:szCs w:val="32"/>
        </w:rPr>
        <w:t xml:space="preserve"> </w:t>
      </w:r>
      <w:r w:rsidR="006F327C">
        <w:rPr>
          <w:rFonts w:ascii="仿宋" w:eastAsia="仿宋" w:hAnsi="仿宋" w:cs="仿宋" w:hint="eastAsia"/>
          <w:sz w:val="32"/>
          <w:szCs w:val="32"/>
        </w:rPr>
        <w:t>201</w:t>
      </w:r>
      <w:r w:rsidR="006F327C">
        <w:rPr>
          <w:rFonts w:ascii="仿宋" w:eastAsia="仿宋" w:hAnsi="仿宋" w:cs="仿宋"/>
          <w:sz w:val="32"/>
          <w:szCs w:val="32"/>
        </w:rPr>
        <w:t>7</w:t>
      </w:r>
      <w:r w:rsidR="006F327C">
        <w:rPr>
          <w:rFonts w:ascii="仿宋" w:eastAsia="仿宋" w:hAnsi="仿宋" w:cs="仿宋" w:hint="eastAsia"/>
          <w:sz w:val="32"/>
          <w:szCs w:val="32"/>
        </w:rPr>
        <w:t>年整体预算支出完成较好；预算调整幅度相对较小，控制得当。</w:t>
      </w:r>
    </w:p>
    <w:p w:rsidR="004F4A49" w:rsidRDefault="006F327C" w:rsidP="006F327C">
      <w:pPr>
        <w:spacing w:line="560" w:lineRule="exact"/>
        <w:ind w:rightChars="20" w:right="42" w:firstLineChars="200" w:firstLine="640"/>
        <w:rPr>
          <w:rFonts w:ascii="仿宋" w:eastAsia="仿宋" w:hAnsi="仿宋" w:cs="仿宋"/>
          <w:sz w:val="32"/>
          <w:szCs w:val="32"/>
        </w:rPr>
      </w:pPr>
      <w:r>
        <w:rPr>
          <w:rFonts w:ascii="仿宋" w:eastAsia="仿宋" w:hAnsi="仿宋" w:cs="仿宋" w:hint="eastAsia"/>
          <w:sz w:val="32"/>
          <w:szCs w:val="32"/>
        </w:rPr>
        <w:t>从</w:t>
      </w:r>
      <w:r w:rsidR="00C54723">
        <w:rPr>
          <w:rFonts w:ascii="仿宋" w:eastAsia="仿宋" w:hAnsi="仿宋" w:cs="仿宋" w:hint="eastAsia"/>
          <w:sz w:val="32"/>
          <w:szCs w:val="32"/>
        </w:rPr>
        <w:t>项目</w:t>
      </w:r>
      <w:r>
        <w:rPr>
          <w:rFonts w:ascii="仿宋" w:eastAsia="仿宋" w:hAnsi="仿宋" w:cs="仿宋" w:hint="eastAsia"/>
          <w:sz w:val="32"/>
          <w:szCs w:val="32"/>
        </w:rPr>
        <w:t>产出来看，整体支出产出良好，各项工作在预定时间内及时实施完成，各项指标值均已达到年初设定目标值。</w:t>
      </w:r>
    </w:p>
    <w:p w:rsidR="004F4A49" w:rsidRDefault="006F327C" w:rsidP="006F327C">
      <w:pPr>
        <w:spacing w:line="560" w:lineRule="exact"/>
        <w:ind w:rightChars="20" w:right="42" w:firstLineChars="200" w:firstLine="640"/>
        <w:rPr>
          <w:rFonts w:ascii="仿宋" w:eastAsia="仿宋" w:hAnsi="仿宋" w:cs="仿宋"/>
          <w:sz w:val="32"/>
          <w:szCs w:val="32"/>
        </w:rPr>
      </w:pPr>
      <w:r>
        <w:rPr>
          <w:rFonts w:ascii="仿宋" w:eastAsia="仿宋" w:hAnsi="仿宋" w:cs="仿宋" w:hint="eastAsia"/>
          <w:sz w:val="32"/>
          <w:szCs w:val="32"/>
        </w:rPr>
        <w:t>从</w:t>
      </w:r>
      <w:r w:rsidR="00C54723">
        <w:rPr>
          <w:rFonts w:ascii="仿宋" w:eastAsia="仿宋" w:hAnsi="仿宋" w:cs="仿宋" w:hint="eastAsia"/>
          <w:sz w:val="32"/>
          <w:szCs w:val="32"/>
        </w:rPr>
        <w:t>项目</w:t>
      </w:r>
      <w:r>
        <w:rPr>
          <w:rFonts w:ascii="仿宋" w:eastAsia="仿宋" w:hAnsi="仿宋" w:cs="仿宋" w:hint="eastAsia"/>
          <w:sz w:val="32"/>
          <w:szCs w:val="32"/>
        </w:rPr>
        <w:t>效果来看，实施效果比较明显，为湖北省培养了优秀的文学创作人才，签约作家、评论家得到扶持与激励，创作出了系列优秀文学作品，树立创作者对文学追求的信心，为取得更多的创作成果奠定了基础。</w:t>
      </w:r>
    </w:p>
    <w:bookmarkEnd w:id="1"/>
    <w:p w:rsidR="004F4A49" w:rsidRDefault="006F327C" w:rsidP="006F327C">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二、基本情况</w:t>
      </w:r>
    </w:p>
    <w:p w:rsidR="004F4A49" w:rsidRDefault="006F327C" w:rsidP="006F327C">
      <w:pPr>
        <w:spacing w:line="560" w:lineRule="exact"/>
        <w:ind w:firstLineChars="200" w:firstLine="643"/>
        <w:jc w:val="left"/>
        <w:rPr>
          <w:rFonts w:ascii="楷体" w:eastAsia="楷体" w:hAnsi="楷体"/>
          <w:b/>
          <w:sz w:val="32"/>
          <w:szCs w:val="32"/>
        </w:rPr>
      </w:pPr>
      <w:r>
        <w:rPr>
          <w:rFonts w:ascii="楷体" w:eastAsia="楷体" w:hAnsi="楷体" w:hint="eastAsia"/>
          <w:b/>
          <w:sz w:val="32"/>
          <w:szCs w:val="32"/>
        </w:rPr>
        <w:t>（一）部门职能与职责</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组织作家学习马克思列宁主义、毛泽东思想、邓小平理论、“三个代表”重要思想、科学发展观、习近平新时代中国特色社会主义思想，学习党的方针政策，培育和践行社会主义核心价值体系，不断提高文学队伍的思想道德修养、科学文化素养、文学艺术学养，不断增强作协组织的政治性、先进性、群众性，全面履行政治引领、团结引导，联络协调、服务管理、自律维权、推动创作的职能。</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坚持文学创作的正确方向，树立精品意识，实施精品战略；提倡题材、体裁、形式的多样化，推动多种艺术风格、流派的充分发展；继承和发扬中华民族优秀文学传统和革命文学传统，学习和借鉴国内和国外优秀文化成果，鼓励探索和创新，不断提高文学作品的思想水平和艺术水平，创作更多的优秀作品贡献给人民。</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3.加强文学理论建设和文学评论工作。提倡和鼓励不同学术观点和学派的自由讨论；开展健康、科学的文学评论，树立和发扬与人为善、实事求是的文学批评风气，切实加强对创作思想的引导。</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4.坚持深入</w:t>
      </w:r>
      <w:r w:rsidR="00237AE4">
        <w:rPr>
          <w:rFonts w:ascii="仿宋" w:eastAsia="仿宋" w:hAnsi="仿宋" w:hint="eastAsia"/>
          <w:sz w:val="32"/>
          <w:szCs w:val="32"/>
        </w:rPr>
        <w:t>生活</w:t>
      </w:r>
      <w:r>
        <w:rPr>
          <w:rFonts w:ascii="仿宋" w:eastAsia="仿宋" w:hAnsi="仿宋" w:hint="eastAsia"/>
          <w:sz w:val="32"/>
          <w:szCs w:val="32"/>
        </w:rPr>
        <w:t>、扎根人民，鼓励和帮助作家从现实生活中汲取营养，丰富生活积累，努力反映以爱国主义为核心的民族精神和以改革创新为核心的时代精神，反映人民群众建设新生活的伟大实践，为巩固社会真、善、美的思想道德基础作出贡献。</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5.发现和培养文学创作、评论、编辑的新生力量，关心青年文学人才的成长，发展和壮大社会主义文学队伍。</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6.大力培养少数民族作家。尊重少数民族文学传统；加强各民族作家之间的文学交流，促进少数民族文学的繁荣与发展。</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7.努力办好本会所属的期刊和网站。坚持正确导向，不断提高质量，坚持把社会效益放在首位，努力实现思想性和艺术性的统一。</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8.高举爱国主义的旗帜，巩固和扩大全省各民族作家的大团结，增进同外省作家特别是港澳台地区文学爱好者以及海外侨胞的联系、交流和友谊，加强民族团结，维护祖国统一。</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9.推进中外文学交流，参加国际文学活动，增进同世界各国作家的友谊，维护世界和平，促进社会进步。</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10.依据宪法、法律以及</w:t>
      </w:r>
      <w:r w:rsidR="00237AE4">
        <w:rPr>
          <w:rFonts w:ascii="仿宋" w:eastAsia="仿宋" w:hAnsi="仿宋" w:hint="eastAsia"/>
          <w:sz w:val="32"/>
          <w:szCs w:val="32"/>
        </w:rPr>
        <w:t>《湖北省作协章程》</w:t>
      </w:r>
      <w:r>
        <w:rPr>
          <w:rFonts w:ascii="仿宋" w:eastAsia="仿宋" w:hAnsi="仿宋" w:hint="eastAsia"/>
          <w:sz w:val="32"/>
          <w:szCs w:val="32"/>
        </w:rPr>
        <w:t>的规定，加强协会管理，倡导会员自律，反映会员的意见和要求，维护会员的民主权利和其他合法权益，保障会员依法依规从事正当的文学活动的自由。</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11.组织全省文学培训活动，对优秀的文学作品和文学人才，给予推介。</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12.加强与社会各界的联系，并与省委、省政府有关部门密切合作，为会员从事创作、评论和其他文学活动创造良好的环境和氛围，提供必要的保障和服务。</w:t>
      </w:r>
    </w:p>
    <w:p w:rsidR="004F4A49" w:rsidRDefault="006F327C" w:rsidP="006F327C">
      <w:pPr>
        <w:spacing w:line="560" w:lineRule="exact"/>
        <w:ind w:firstLineChars="200" w:firstLine="643"/>
        <w:jc w:val="left"/>
        <w:rPr>
          <w:rFonts w:ascii="楷体" w:eastAsia="楷体" w:hAnsi="楷体"/>
          <w:b/>
          <w:sz w:val="32"/>
          <w:szCs w:val="32"/>
        </w:rPr>
      </w:pPr>
      <w:r>
        <w:rPr>
          <w:rFonts w:ascii="楷体" w:eastAsia="楷体" w:hAnsi="楷体" w:hint="eastAsia"/>
          <w:b/>
          <w:sz w:val="32"/>
          <w:szCs w:val="32"/>
        </w:rPr>
        <w:t>（二）部门年度工作重点</w:t>
      </w:r>
    </w:p>
    <w:p w:rsidR="004F4A49" w:rsidRDefault="006F327C" w:rsidP="006F327C">
      <w:pPr>
        <w:spacing w:line="560" w:lineRule="exact"/>
        <w:ind w:rightChars="-94" w:right="-197" w:firstLineChars="200" w:firstLine="640"/>
        <w:jc w:val="left"/>
        <w:rPr>
          <w:rFonts w:ascii="仿宋" w:eastAsia="仿宋" w:hAnsi="仿宋"/>
          <w:sz w:val="32"/>
          <w:szCs w:val="32"/>
        </w:rPr>
      </w:pPr>
      <w:r>
        <w:rPr>
          <w:rFonts w:ascii="仿宋" w:eastAsia="仿宋" w:hAnsi="仿宋" w:hint="eastAsia"/>
          <w:sz w:val="32"/>
          <w:szCs w:val="32"/>
        </w:rPr>
        <w:t>1.不断完善“深入生活、扎根人民”长效机制；</w:t>
      </w:r>
    </w:p>
    <w:p w:rsidR="004F4A49" w:rsidRDefault="006F327C" w:rsidP="006F327C">
      <w:pPr>
        <w:spacing w:line="560" w:lineRule="exact"/>
        <w:ind w:rightChars="-94" w:right="-197" w:firstLineChars="200" w:firstLine="640"/>
        <w:jc w:val="left"/>
        <w:rPr>
          <w:rFonts w:ascii="仿宋" w:eastAsia="仿宋" w:hAnsi="仿宋"/>
          <w:sz w:val="32"/>
          <w:szCs w:val="32"/>
        </w:rPr>
      </w:pPr>
      <w:r>
        <w:rPr>
          <w:rFonts w:ascii="仿宋" w:eastAsia="仿宋" w:hAnsi="仿宋" w:hint="eastAsia"/>
          <w:sz w:val="32"/>
          <w:szCs w:val="32"/>
        </w:rPr>
        <w:lastRenderedPageBreak/>
        <w:t>2.创新机制，进一步加强作家队伍建设；</w:t>
      </w:r>
    </w:p>
    <w:p w:rsidR="004F4A49" w:rsidRDefault="006F327C" w:rsidP="006F327C">
      <w:pPr>
        <w:spacing w:line="560" w:lineRule="exact"/>
        <w:ind w:rightChars="-94" w:right="-197" w:firstLineChars="200" w:firstLine="640"/>
        <w:jc w:val="left"/>
        <w:rPr>
          <w:rFonts w:ascii="仿宋" w:eastAsia="仿宋" w:hAnsi="仿宋"/>
          <w:sz w:val="32"/>
          <w:szCs w:val="32"/>
        </w:rPr>
      </w:pPr>
      <w:r>
        <w:rPr>
          <w:rFonts w:ascii="仿宋" w:eastAsia="仿宋" w:hAnsi="仿宋" w:hint="eastAsia"/>
          <w:sz w:val="32"/>
          <w:szCs w:val="32"/>
        </w:rPr>
        <w:t>3.精心组织，积极打造特色文学活动；</w:t>
      </w:r>
    </w:p>
    <w:p w:rsidR="004F4A49" w:rsidRDefault="006F327C" w:rsidP="006F327C">
      <w:pPr>
        <w:spacing w:line="560" w:lineRule="exact"/>
        <w:ind w:rightChars="-94" w:right="-197" w:firstLineChars="200" w:firstLine="640"/>
        <w:jc w:val="left"/>
        <w:rPr>
          <w:rFonts w:ascii="仿宋" w:eastAsia="仿宋" w:hAnsi="仿宋"/>
          <w:sz w:val="32"/>
          <w:szCs w:val="32"/>
        </w:rPr>
      </w:pPr>
      <w:r>
        <w:rPr>
          <w:rFonts w:ascii="仿宋" w:eastAsia="仿宋" w:hAnsi="仿宋" w:hint="eastAsia"/>
          <w:sz w:val="32"/>
          <w:szCs w:val="32"/>
        </w:rPr>
        <w:t>4.抓好文学创作，努力催生精品力作；</w:t>
      </w:r>
    </w:p>
    <w:p w:rsidR="004F4A49" w:rsidRDefault="006F327C" w:rsidP="006F327C">
      <w:pPr>
        <w:spacing w:line="560" w:lineRule="exact"/>
        <w:ind w:rightChars="-94" w:right="-197" w:firstLineChars="200" w:firstLine="640"/>
        <w:jc w:val="left"/>
        <w:rPr>
          <w:rFonts w:ascii="仿宋" w:eastAsia="仿宋" w:hAnsi="仿宋"/>
          <w:sz w:val="32"/>
          <w:szCs w:val="32"/>
        </w:rPr>
      </w:pPr>
      <w:r>
        <w:rPr>
          <w:rFonts w:ascii="仿宋" w:eastAsia="仿宋" w:hAnsi="仿宋" w:hint="eastAsia"/>
          <w:sz w:val="32"/>
          <w:szCs w:val="32"/>
        </w:rPr>
        <w:t>5.加强文学阵地建设，夯实文学事业发展基础；</w:t>
      </w:r>
    </w:p>
    <w:p w:rsidR="004F4A49" w:rsidRDefault="006F327C" w:rsidP="006F327C">
      <w:pPr>
        <w:spacing w:line="560" w:lineRule="exact"/>
        <w:ind w:rightChars="-94" w:right="-197" w:firstLineChars="200" w:firstLine="640"/>
        <w:jc w:val="left"/>
        <w:rPr>
          <w:rFonts w:ascii="仿宋" w:eastAsia="仿宋" w:hAnsi="仿宋"/>
          <w:sz w:val="32"/>
          <w:szCs w:val="32"/>
        </w:rPr>
      </w:pPr>
      <w:r>
        <w:rPr>
          <w:rFonts w:ascii="仿宋" w:eastAsia="仿宋" w:hAnsi="仿宋" w:hint="eastAsia"/>
          <w:sz w:val="32"/>
          <w:szCs w:val="32"/>
        </w:rPr>
        <w:t>6.加强对外文学交流；</w:t>
      </w:r>
    </w:p>
    <w:p w:rsidR="004F4A49" w:rsidRDefault="006F327C" w:rsidP="006F327C">
      <w:pPr>
        <w:spacing w:line="560" w:lineRule="exact"/>
        <w:ind w:rightChars="-94" w:right="-197" w:firstLineChars="200" w:firstLine="640"/>
        <w:jc w:val="left"/>
        <w:rPr>
          <w:rFonts w:ascii="仿宋" w:eastAsia="仿宋" w:hAnsi="仿宋"/>
          <w:sz w:val="32"/>
          <w:szCs w:val="32"/>
        </w:rPr>
      </w:pPr>
      <w:r>
        <w:rPr>
          <w:rFonts w:ascii="仿宋" w:eastAsia="仿宋" w:hAnsi="仿宋" w:hint="eastAsia"/>
          <w:sz w:val="32"/>
          <w:szCs w:val="32"/>
        </w:rPr>
        <w:t>7.切实加强文学理论研究与评论工作；</w:t>
      </w:r>
    </w:p>
    <w:p w:rsidR="004F4A49" w:rsidRDefault="006F327C" w:rsidP="006F327C">
      <w:pPr>
        <w:spacing w:line="560" w:lineRule="exact"/>
        <w:ind w:rightChars="-94" w:right="-197" w:firstLineChars="200" w:firstLine="640"/>
        <w:jc w:val="left"/>
        <w:rPr>
          <w:rFonts w:ascii="仿宋" w:eastAsia="仿宋" w:hAnsi="仿宋"/>
          <w:sz w:val="32"/>
          <w:szCs w:val="32"/>
        </w:rPr>
      </w:pPr>
      <w:r>
        <w:rPr>
          <w:rFonts w:ascii="仿宋" w:eastAsia="仿宋" w:hAnsi="仿宋" w:hint="eastAsia"/>
          <w:sz w:val="32"/>
          <w:szCs w:val="32"/>
        </w:rPr>
        <w:t xml:space="preserve">8.加强自身建设，努力提高服务能力和工作水平。  </w:t>
      </w:r>
    </w:p>
    <w:p w:rsidR="004F4A49" w:rsidRDefault="006F327C" w:rsidP="006F327C">
      <w:pPr>
        <w:spacing w:line="560" w:lineRule="exact"/>
        <w:ind w:rightChars="-94" w:right="-197" w:firstLineChars="200" w:firstLine="643"/>
        <w:jc w:val="left"/>
        <w:rPr>
          <w:rFonts w:ascii="楷体" w:eastAsia="楷体" w:hAnsi="楷体"/>
          <w:b/>
          <w:sz w:val="32"/>
          <w:szCs w:val="32"/>
        </w:rPr>
      </w:pPr>
      <w:r>
        <w:rPr>
          <w:rFonts w:ascii="楷体" w:eastAsia="楷体" w:hAnsi="楷体" w:hint="eastAsia"/>
          <w:b/>
          <w:sz w:val="32"/>
          <w:szCs w:val="32"/>
        </w:rPr>
        <w:t>（三）部门支出情况</w:t>
      </w:r>
    </w:p>
    <w:p w:rsidR="004F4A49" w:rsidRDefault="006F327C" w:rsidP="006F327C">
      <w:pPr>
        <w:spacing w:line="560" w:lineRule="exact"/>
        <w:ind w:rightChars="20" w:right="42" w:firstLineChars="200" w:firstLine="640"/>
        <w:jc w:val="left"/>
        <w:rPr>
          <w:rFonts w:ascii="仿宋" w:eastAsia="仿宋" w:hAnsi="仿宋"/>
          <w:sz w:val="32"/>
          <w:szCs w:val="32"/>
        </w:rPr>
      </w:pPr>
      <w:r>
        <w:rPr>
          <w:rFonts w:ascii="仿宋" w:eastAsia="仿宋" w:hAnsi="仿宋" w:hint="eastAsia"/>
          <w:sz w:val="32"/>
          <w:szCs w:val="32"/>
        </w:rPr>
        <w:t>2017年度，我会支出年初预算数3,148.53万元，年末支出决算数合计3，252.76万元，其中：工资福利支出1,007.39万元、商品和服务支出1,317.49万元、对个人和家庭的补助897.61万元、其他资本性支出30.27万元。</w:t>
      </w:r>
    </w:p>
    <w:p w:rsidR="004F4A49" w:rsidRDefault="006F327C" w:rsidP="006F327C">
      <w:pPr>
        <w:spacing w:line="560" w:lineRule="exact"/>
        <w:ind w:rightChars="20" w:right="42" w:firstLineChars="200" w:firstLine="640"/>
        <w:jc w:val="left"/>
        <w:rPr>
          <w:rFonts w:ascii="黑体" w:eastAsia="黑体" w:hAnsi="黑体"/>
          <w:sz w:val="32"/>
          <w:szCs w:val="32"/>
        </w:rPr>
      </w:pPr>
      <w:r>
        <w:rPr>
          <w:rFonts w:ascii="黑体" w:eastAsia="黑体" w:hAnsi="黑体" w:hint="eastAsia"/>
          <w:sz w:val="32"/>
          <w:szCs w:val="32"/>
        </w:rPr>
        <w:t>三、绩效自评工作情况</w:t>
      </w:r>
    </w:p>
    <w:p w:rsidR="004F4A49" w:rsidRDefault="006F327C" w:rsidP="006F327C">
      <w:pPr>
        <w:spacing w:line="560" w:lineRule="exact"/>
        <w:ind w:firstLineChars="200" w:firstLine="643"/>
        <w:jc w:val="left"/>
        <w:rPr>
          <w:rFonts w:ascii="楷体" w:eastAsia="楷体" w:hAnsi="楷体"/>
          <w:b/>
          <w:sz w:val="32"/>
          <w:szCs w:val="32"/>
        </w:rPr>
      </w:pPr>
      <w:r>
        <w:rPr>
          <w:rFonts w:ascii="楷体" w:eastAsia="楷体" w:hAnsi="楷体" w:hint="eastAsia"/>
          <w:b/>
          <w:sz w:val="32"/>
          <w:szCs w:val="32"/>
        </w:rPr>
        <w:t>（一）绩效目标完成情况</w:t>
      </w:r>
    </w:p>
    <w:p w:rsidR="004F4A49" w:rsidRDefault="006F327C" w:rsidP="006F327C">
      <w:pPr>
        <w:spacing w:line="560" w:lineRule="exact"/>
        <w:ind w:rightChars="20" w:right="42"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017</w:t>
      </w:r>
      <w:r>
        <w:rPr>
          <w:rFonts w:ascii="仿宋" w:eastAsia="仿宋" w:hAnsi="仿宋" w:hint="eastAsia"/>
          <w:sz w:val="32"/>
          <w:szCs w:val="32"/>
        </w:rPr>
        <w:t>年度，我会设定的整体绩效目标为：目标1：队伍建设：培养各类文学梯队创作人才，发展26名签约作家和10名签约评论家；“春秋讲学”活动受众面不断扩大；开展地铁公共空间诗歌公益展示活动；组织文学活动，征集文学作品；目标2：文学创作：推出各类文学作品，提升作品质量和美誉度；出版《长江文艺》等期刊，加大各类刊物的推介力度，扩大刊物的社会影响力；完善精品典藏工程。</w:t>
      </w:r>
    </w:p>
    <w:p w:rsidR="004F4A49" w:rsidRDefault="006F327C" w:rsidP="006F327C">
      <w:pPr>
        <w:spacing w:line="560" w:lineRule="exact"/>
        <w:ind w:rightChars="20" w:right="42" w:firstLineChars="220" w:firstLine="704"/>
        <w:jc w:val="left"/>
        <w:rPr>
          <w:rFonts w:ascii="仿宋" w:eastAsia="仿宋" w:hAnsi="仿宋"/>
          <w:sz w:val="32"/>
          <w:szCs w:val="32"/>
        </w:rPr>
      </w:pPr>
      <w:r>
        <w:rPr>
          <w:rFonts w:ascii="仿宋" w:eastAsia="仿宋" w:hAnsi="仿宋" w:hint="eastAsia"/>
          <w:sz w:val="32"/>
          <w:szCs w:val="32"/>
        </w:rPr>
        <w:t>我会2</w:t>
      </w:r>
      <w:r>
        <w:rPr>
          <w:rFonts w:ascii="仿宋" w:eastAsia="仿宋" w:hAnsi="仿宋"/>
          <w:sz w:val="32"/>
          <w:szCs w:val="32"/>
        </w:rPr>
        <w:t>017</w:t>
      </w:r>
      <w:r>
        <w:rPr>
          <w:rFonts w:ascii="仿宋" w:eastAsia="仿宋" w:hAnsi="仿宋" w:hint="eastAsia"/>
          <w:sz w:val="32"/>
          <w:szCs w:val="32"/>
        </w:rPr>
        <w:t>年以来深入贯彻落实党的十九大精神和省第十一次党代会精神，认真履行政治引领、团结引导、联络协调、服务管理、自律维权、推动创作的职能，聚力湖北“建成支点、</w:t>
      </w:r>
      <w:r>
        <w:rPr>
          <w:rFonts w:ascii="仿宋" w:eastAsia="仿宋" w:hAnsi="仿宋" w:hint="eastAsia"/>
          <w:sz w:val="32"/>
          <w:szCs w:val="32"/>
        </w:rPr>
        <w:lastRenderedPageBreak/>
        <w:t>走在前列”文化强省建设，坚持精英精品与大众草根文艺并重抓，团结带领全省广大作家和文学工作者，努力推动湖北由文学大省向文学强省迈进，各项工作较好的完成了年初目标值：</w:t>
      </w:r>
    </w:p>
    <w:p w:rsidR="004F4A49" w:rsidRDefault="006F327C" w:rsidP="006F327C">
      <w:pPr>
        <w:spacing w:line="560" w:lineRule="exact"/>
        <w:ind w:rightChars="20" w:right="42" w:firstLineChars="200" w:firstLine="640"/>
        <w:jc w:val="left"/>
        <w:rPr>
          <w:rFonts w:ascii="仿宋" w:eastAsia="仿宋" w:hAnsi="仿宋"/>
          <w:sz w:val="32"/>
          <w:szCs w:val="32"/>
        </w:rPr>
      </w:pPr>
      <w:r>
        <w:rPr>
          <w:rFonts w:ascii="仿宋" w:eastAsia="仿宋" w:hAnsi="仿宋" w:hint="eastAsia"/>
          <w:sz w:val="32"/>
          <w:szCs w:val="32"/>
        </w:rPr>
        <w:t>1.队伍建设：培养各类文学梯队创作人才，已发展26名签约作家和10名签约评论家；“春秋讲学”向广大读者演讲交流，场面热烈，文学爱好者中反响强烈；开展组织文学活动6场；</w:t>
      </w:r>
    </w:p>
    <w:p w:rsidR="004F4A49" w:rsidRDefault="006F327C" w:rsidP="006F327C">
      <w:pPr>
        <w:spacing w:line="560" w:lineRule="exact"/>
        <w:ind w:rightChars="20" w:right="42" w:firstLineChars="200" w:firstLine="640"/>
        <w:jc w:val="left"/>
        <w:rPr>
          <w:rFonts w:ascii="仿宋" w:eastAsia="仿宋" w:hAnsi="仿宋"/>
          <w:sz w:val="32"/>
          <w:szCs w:val="32"/>
        </w:rPr>
      </w:pPr>
      <w:r>
        <w:rPr>
          <w:rFonts w:ascii="仿宋" w:eastAsia="仿宋" w:hAnsi="仿宋" w:hint="eastAsia"/>
          <w:sz w:val="32"/>
          <w:szCs w:val="32"/>
        </w:rPr>
        <w:t>2.文学创作：推出各类文学作品约500篇，出版长篇小说10部，提升作品质量和美誉度；精品典藏工程正在完成编辑工作；出版《长江文艺》等期刊24期，会员对期刊满意度达100%.</w:t>
      </w:r>
    </w:p>
    <w:p w:rsidR="004F4A49" w:rsidRDefault="006F327C" w:rsidP="006F327C">
      <w:pPr>
        <w:spacing w:line="560" w:lineRule="exact"/>
        <w:ind w:firstLineChars="200" w:firstLine="643"/>
        <w:jc w:val="left"/>
        <w:rPr>
          <w:rFonts w:ascii="楷体" w:eastAsia="楷体" w:hAnsi="楷体"/>
          <w:b/>
          <w:sz w:val="32"/>
          <w:szCs w:val="32"/>
        </w:rPr>
      </w:pPr>
      <w:r>
        <w:rPr>
          <w:rFonts w:ascii="楷体" w:eastAsia="楷体" w:hAnsi="楷体" w:hint="eastAsia"/>
          <w:b/>
          <w:sz w:val="32"/>
          <w:szCs w:val="32"/>
        </w:rPr>
        <w:t>（二）指标未完成或目标值偏差达3</w:t>
      </w:r>
      <w:r>
        <w:rPr>
          <w:rFonts w:ascii="楷体" w:eastAsia="楷体" w:hAnsi="楷体"/>
          <w:b/>
          <w:sz w:val="32"/>
          <w:szCs w:val="32"/>
        </w:rPr>
        <w:t>0%</w:t>
      </w:r>
      <w:r>
        <w:rPr>
          <w:rFonts w:ascii="楷体" w:eastAsia="楷体" w:hAnsi="楷体" w:hint="eastAsia"/>
          <w:b/>
          <w:sz w:val="32"/>
          <w:szCs w:val="32"/>
        </w:rPr>
        <w:t>以上的原因分析</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未完成指标的原因分析</w:t>
      </w:r>
    </w:p>
    <w:p w:rsidR="004F4A49" w:rsidRDefault="006F327C" w:rsidP="006F327C">
      <w:pPr>
        <w:spacing w:line="560" w:lineRule="exact"/>
        <w:ind w:firstLineChars="200" w:firstLine="640"/>
        <w:jc w:val="left"/>
        <w:rPr>
          <w:rFonts w:ascii="仿宋" w:eastAsia="仿宋" w:hAnsi="仿宋"/>
          <w:sz w:val="32"/>
          <w:szCs w:val="32"/>
        </w:rPr>
      </w:pPr>
      <w:bookmarkStart w:id="2" w:name="_Hlk513110291"/>
      <w:r>
        <w:rPr>
          <w:rFonts w:ascii="仿宋" w:eastAsia="仿宋" w:hAnsi="仿宋" w:hint="eastAsia"/>
          <w:sz w:val="32"/>
          <w:szCs w:val="32"/>
        </w:rPr>
        <w:t>（1）文学典藏工程进度完成率100%，文学典藏工程从编纂到出版一般要2-3年时间，目前项目尚在实施中。</w:t>
      </w:r>
    </w:p>
    <w:bookmarkEnd w:id="2"/>
    <w:p w:rsidR="004F4A49" w:rsidRDefault="006F327C" w:rsidP="006F327C">
      <w:pPr>
        <w:spacing w:line="560" w:lineRule="exact"/>
        <w:ind w:rightChars="-94" w:right="-197"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目标值偏差达30%以上的原因分析</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无目标值偏差达30%以上的指标。</w:t>
      </w:r>
    </w:p>
    <w:p w:rsidR="004F4A49" w:rsidRDefault="006F327C" w:rsidP="006F327C">
      <w:pPr>
        <w:spacing w:line="560" w:lineRule="exact"/>
        <w:ind w:firstLineChars="200" w:firstLine="643"/>
        <w:jc w:val="left"/>
        <w:rPr>
          <w:rFonts w:ascii="楷体" w:eastAsia="楷体" w:hAnsi="楷体"/>
          <w:b/>
          <w:sz w:val="32"/>
          <w:szCs w:val="32"/>
        </w:rPr>
      </w:pPr>
      <w:r>
        <w:rPr>
          <w:rFonts w:ascii="楷体" w:eastAsia="楷体" w:hAnsi="楷体" w:hint="eastAsia"/>
          <w:b/>
          <w:sz w:val="32"/>
          <w:szCs w:val="32"/>
        </w:rPr>
        <w:t>（三）绩效指标数据来源及获取方式</w:t>
      </w:r>
    </w:p>
    <w:p w:rsidR="004F4A49" w:rsidRDefault="006F327C" w:rsidP="006F327C">
      <w:pPr>
        <w:spacing w:line="560" w:lineRule="exact"/>
        <w:ind w:rightChars="20" w:right="42"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017</w:t>
      </w:r>
      <w:r>
        <w:rPr>
          <w:rFonts w:ascii="仿宋" w:eastAsia="仿宋" w:hAnsi="仿宋" w:hint="eastAsia"/>
          <w:sz w:val="32"/>
          <w:szCs w:val="32"/>
        </w:rPr>
        <w:t>年度我会整体支出绩效指标的年初目标值，是通过了解各部门过去三年完成情况、及对工作完成度的预期、同行业先进水平、经验标准等综合考量，确定2</w:t>
      </w:r>
      <w:r>
        <w:rPr>
          <w:rFonts w:ascii="仿宋" w:eastAsia="仿宋" w:hAnsi="仿宋"/>
          <w:sz w:val="32"/>
          <w:szCs w:val="32"/>
        </w:rPr>
        <w:t>017</w:t>
      </w:r>
      <w:r>
        <w:rPr>
          <w:rFonts w:ascii="仿宋" w:eastAsia="仿宋" w:hAnsi="仿宋" w:hint="eastAsia"/>
          <w:sz w:val="32"/>
          <w:szCs w:val="32"/>
        </w:rPr>
        <w:t>年整体支出绩效指标预期能达到的目标值。实际完成值则是通过收集各部门业务档案、创作统计表、工作总结、项目总结等资料来获取。</w:t>
      </w:r>
    </w:p>
    <w:p w:rsidR="004F4A49" w:rsidRDefault="006F327C" w:rsidP="006F327C">
      <w:pPr>
        <w:spacing w:line="560" w:lineRule="exact"/>
        <w:ind w:rightChars="20" w:right="42" w:firstLineChars="200" w:firstLine="640"/>
        <w:rPr>
          <w:rFonts w:ascii="黑体" w:eastAsia="黑体" w:hAnsi="黑体"/>
          <w:sz w:val="32"/>
          <w:szCs w:val="32"/>
        </w:rPr>
      </w:pPr>
      <w:r>
        <w:rPr>
          <w:rFonts w:ascii="黑体" w:eastAsia="黑体" w:hAnsi="黑体" w:hint="eastAsia"/>
          <w:sz w:val="32"/>
          <w:szCs w:val="32"/>
        </w:rPr>
        <w:t>四、下一步工作安排</w:t>
      </w:r>
    </w:p>
    <w:p w:rsidR="004F4A49" w:rsidRDefault="006F327C" w:rsidP="006F327C">
      <w:pPr>
        <w:spacing w:line="560" w:lineRule="exact"/>
        <w:ind w:firstLineChars="200" w:firstLine="643"/>
        <w:jc w:val="left"/>
        <w:rPr>
          <w:rFonts w:ascii="楷体" w:eastAsia="楷体" w:hAnsi="楷体"/>
          <w:b/>
          <w:sz w:val="32"/>
          <w:szCs w:val="32"/>
        </w:rPr>
      </w:pPr>
      <w:r>
        <w:rPr>
          <w:rFonts w:ascii="楷体" w:eastAsia="楷体" w:hAnsi="楷体" w:hint="eastAsia"/>
          <w:b/>
          <w:sz w:val="32"/>
          <w:szCs w:val="32"/>
        </w:rPr>
        <w:lastRenderedPageBreak/>
        <w:t>（一）拟采取的工作措施</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我会根据2017年绩效自评结果，对绩效评价中发现的问题及时梳理、报告、反馈并督促实施单位进行整改，根据绩效管理中发现的问题，相关处室及时将整改情况向我会预算绩效管理领导小组报告，并对预算管理和项目</w:t>
      </w:r>
      <w:bookmarkStart w:id="3" w:name="_GoBack"/>
      <w:bookmarkEnd w:id="3"/>
      <w:r>
        <w:rPr>
          <w:rFonts w:ascii="仿宋" w:eastAsia="仿宋" w:hAnsi="仿宋" w:hint="eastAsia"/>
          <w:sz w:val="32"/>
          <w:szCs w:val="32"/>
        </w:rPr>
        <w:t>管理进行调整纠偏，进一步加强评价结果与项目资金安排的衔接，将工作落到实处。</w:t>
      </w:r>
    </w:p>
    <w:p w:rsidR="004F4A49" w:rsidRDefault="006F327C" w:rsidP="006F327C">
      <w:pPr>
        <w:spacing w:line="560" w:lineRule="exact"/>
        <w:ind w:firstLineChars="200" w:firstLine="643"/>
        <w:jc w:val="left"/>
        <w:rPr>
          <w:rFonts w:ascii="仿宋" w:eastAsia="仿宋" w:hAnsi="仿宋"/>
          <w:sz w:val="32"/>
          <w:szCs w:val="32"/>
        </w:rPr>
      </w:pPr>
      <w:r>
        <w:rPr>
          <w:rFonts w:ascii="楷体" w:eastAsia="楷体" w:hAnsi="楷体" w:hint="eastAsia"/>
          <w:b/>
          <w:sz w:val="32"/>
          <w:szCs w:val="32"/>
        </w:rPr>
        <w:t>（二）对绩效目标和指标体系的建议</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因文学创作需要时间，部分项目实施的周期较长，评价周期较短，很多产出效果在当年很难显现，按资金年度无法客观、全面、准确地对该项目的评价该项目成果。</w:t>
      </w:r>
    </w:p>
    <w:p w:rsidR="004F4A49" w:rsidRDefault="006F327C" w:rsidP="006F327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建议按项目所处的实施阶段，提供差异化的评价模式或评价指标体系，明确界定不同评价模式和指标体系的项目类型，以提高评价指标的针对性。</w:t>
      </w:r>
    </w:p>
    <w:p w:rsidR="004F4A49" w:rsidRDefault="004F4A49" w:rsidP="006F327C">
      <w:pPr>
        <w:spacing w:line="560" w:lineRule="exact"/>
        <w:ind w:firstLineChars="200" w:firstLine="640"/>
        <w:rPr>
          <w:rFonts w:ascii="仿宋_GB2312" w:eastAsia="仿宋_GB2312" w:hAnsi="仿宋"/>
          <w:sz w:val="32"/>
          <w:szCs w:val="32"/>
        </w:rPr>
      </w:pPr>
    </w:p>
    <w:p w:rsidR="004F4A49" w:rsidRDefault="006F327C" w:rsidP="006F327C">
      <w:pPr>
        <w:spacing w:line="560" w:lineRule="exact"/>
        <w:rPr>
          <w:rFonts w:ascii="仿宋" w:eastAsia="仿宋" w:hAnsi="仿宋"/>
          <w:sz w:val="32"/>
          <w:szCs w:val="32"/>
        </w:rPr>
      </w:pPr>
      <w:r>
        <w:rPr>
          <w:rFonts w:ascii="仿宋" w:eastAsia="仿宋" w:hAnsi="仿宋" w:hint="eastAsia"/>
          <w:sz w:val="32"/>
          <w:szCs w:val="32"/>
        </w:rPr>
        <w:t>附：2018年湖北省作家协会整体支出绩效自评表</w:t>
      </w:r>
    </w:p>
    <w:p w:rsidR="004F4A49" w:rsidRDefault="004F4A49" w:rsidP="006F327C">
      <w:pPr>
        <w:spacing w:line="560" w:lineRule="exact"/>
        <w:ind w:firstLineChars="200" w:firstLine="640"/>
        <w:rPr>
          <w:rFonts w:ascii="仿宋" w:eastAsia="仿宋" w:hAnsi="仿宋"/>
          <w:sz w:val="32"/>
          <w:szCs w:val="32"/>
        </w:rPr>
      </w:pPr>
    </w:p>
    <w:sectPr w:rsidR="004F4A49" w:rsidSect="004F4A4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D71" w:rsidRDefault="00F73D71" w:rsidP="00980B20">
      <w:r>
        <w:separator/>
      </w:r>
    </w:p>
  </w:endnote>
  <w:endnote w:type="continuationSeparator" w:id="0">
    <w:p w:rsidR="00F73D71" w:rsidRDefault="00F73D71" w:rsidP="00980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D71" w:rsidRDefault="00F73D71" w:rsidP="00980B20">
      <w:r>
        <w:separator/>
      </w:r>
    </w:p>
  </w:footnote>
  <w:footnote w:type="continuationSeparator" w:id="0">
    <w:p w:rsidR="00F73D71" w:rsidRDefault="00F73D71" w:rsidP="00980B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63957"/>
    <w:multiLevelType w:val="singleLevel"/>
    <w:tmpl w:val="35E6395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04347"/>
    <w:rsid w:val="00031CBC"/>
    <w:rsid w:val="00050D7E"/>
    <w:rsid w:val="00081EA6"/>
    <w:rsid w:val="00083A4D"/>
    <w:rsid w:val="000E6F8A"/>
    <w:rsid w:val="000F69CB"/>
    <w:rsid w:val="00106348"/>
    <w:rsid w:val="00107431"/>
    <w:rsid w:val="00123269"/>
    <w:rsid w:val="00137AF5"/>
    <w:rsid w:val="00147069"/>
    <w:rsid w:val="001C04F0"/>
    <w:rsid w:val="001C7FB2"/>
    <w:rsid w:val="001D36A3"/>
    <w:rsid w:val="001F47C8"/>
    <w:rsid w:val="00206F6A"/>
    <w:rsid w:val="0021023A"/>
    <w:rsid w:val="00237AE4"/>
    <w:rsid w:val="0025676A"/>
    <w:rsid w:val="00303120"/>
    <w:rsid w:val="00344B1B"/>
    <w:rsid w:val="003706A4"/>
    <w:rsid w:val="00370785"/>
    <w:rsid w:val="0037365A"/>
    <w:rsid w:val="00375EE1"/>
    <w:rsid w:val="003811E6"/>
    <w:rsid w:val="0040788E"/>
    <w:rsid w:val="00422C95"/>
    <w:rsid w:val="00422DE1"/>
    <w:rsid w:val="0045591D"/>
    <w:rsid w:val="0049453B"/>
    <w:rsid w:val="004962F6"/>
    <w:rsid w:val="00496BC4"/>
    <w:rsid w:val="004B5E16"/>
    <w:rsid w:val="004D0462"/>
    <w:rsid w:val="004F23A7"/>
    <w:rsid w:val="004F4A49"/>
    <w:rsid w:val="00520571"/>
    <w:rsid w:val="00530380"/>
    <w:rsid w:val="005C39E3"/>
    <w:rsid w:val="005E2E16"/>
    <w:rsid w:val="005F4FC1"/>
    <w:rsid w:val="006029EB"/>
    <w:rsid w:val="006103D4"/>
    <w:rsid w:val="00620B3C"/>
    <w:rsid w:val="00631FB2"/>
    <w:rsid w:val="0063778F"/>
    <w:rsid w:val="00674438"/>
    <w:rsid w:val="006A10BD"/>
    <w:rsid w:val="006B364F"/>
    <w:rsid w:val="006F327C"/>
    <w:rsid w:val="00722254"/>
    <w:rsid w:val="00734778"/>
    <w:rsid w:val="0074311F"/>
    <w:rsid w:val="00747F85"/>
    <w:rsid w:val="00764B7C"/>
    <w:rsid w:val="007B57B9"/>
    <w:rsid w:val="00803785"/>
    <w:rsid w:val="00843DD3"/>
    <w:rsid w:val="00847930"/>
    <w:rsid w:val="008556B7"/>
    <w:rsid w:val="00865DE3"/>
    <w:rsid w:val="00900585"/>
    <w:rsid w:val="00944180"/>
    <w:rsid w:val="00972FED"/>
    <w:rsid w:val="00980B20"/>
    <w:rsid w:val="009E7B85"/>
    <w:rsid w:val="009F12C6"/>
    <w:rsid w:val="00A1301C"/>
    <w:rsid w:val="00A353F6"/>
    <w:rsid w:val="00A45398"/>
    <w:rsid w:val="00AE55E7"/>
    <w:rsid w:val="00AF79A0"/>
    <w:rsid w:val="00B0669D"/>
    <w:rsid w:val="00B205D1"/>
    <w:rsid w:val="00B262FE"/>
    <w:rsid w:val="00BE02C6"/>
    <w:rsid w:val="00BF7574"/>
    <w:rsid w:val="00C028AF"/>
    <w:rsid w:val="00C11E1D"/>
    <w:rsid w:val="00C54723"/>
    <w:rsid w:val="00C62018"/>
    <w:rsid w:val="00C62B78"/>
    <w:rsid w:val="00C71876"/>
    <w:rsid w:val="00D04347"/>
    <w:rsid w:val="00D35AC7"/>
    <w:rsid w:val="00D72093"/>
    <w:rsid w:val="00D84E31"/>
    <w:rsid w:val="00D94822"/>
    <w:rsid w:val="00DB626A"/>
    <w:rsid w:val="00DC27FD"/>
    <w:rsid w:val="00DE08EC"/>
    <w:rsid w:val="00E14A8F"/>
    <w:rsid w:val="00E441C4"/>
    <w:rsid w:val="00E474B1"/>
    <w:rsid w:val="00E60D95"/>
    <w:rsid w:val="00E67222"/>
    <w:rsid w:val="00EA278E"/>
    <w:rsid w:val="00EA66B7"/>
    <w:rsid w:val="00ED309B"/>
    <w:rsid w:val="00F068F2"/>
    <w:rsid w:val="00F23D6F"/>
    <w:rsid w:val="00F27B02"/>
    <w:rsid w:val="00F51E7C"/>
    <w:rsid w:val="00F623DE"/>
    <w:rsid w:val="00F7208C"/>
    <w:rsid w:val="00F73D71"/>
    <w:rsid w:val="00FD5A54"/>
    <w:rsid w:val="00FF60A2"/>
    <w:rsid w:val="088A3F1C"/>
    <w:rsid w:val="0A58230E"/>
    <w:rsid w:val="0C8115EF"/>
    <w:rsid w:val="14594DC9"/>
    <w:rsid w:val="17074418"/>
    <w:rsid w:val="17A20D14"/>
    <w:rsid w:val="18306B7B"/>
    <w:rsid w:val="22A56ED9"/>
    <w:rsid w:val="2DE0222C"/>
    <w:rsid w:val="43FC7F08"/>
    <w:rsid w:val="4A38531B"/>
    <w:rsid w:val="4B8F7077"/>
    <w:rsid w:val="4C35108F"/>
    <w:rsid w:val="52257DEB"/>
    <w:rsid w:val="55024E19"/>
    <w:rsid w:val="5B563622"/>
    <w:rsid w:val="5C13333D"/>
    <w:rsid w:val="5C8D3113"/>
    <w:rsid w:val="5FD6163A"/>
    <w:rsid w:val="68D05206"/>
    <w:rsid w:val="74695CF8"/>
    <w:rsid w:val="77ED236E"/>
    <w:rsid w:val="79B855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A4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F4A4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F4A49"/>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4F4A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4F4A49"/>
    <w:rPr>
      <w:sz w:val="18"/>
      <w:szCs w:val="18"/>
    </w:rPr>
  </w:style>
  <w:style w:type="character" w:customStyle="1" w:styleId="Char">
    <w:name w:val="页脚 Char"/>
    <w:basedOn w:val="a0"/>
    <w:link w:val="a3"/>
    <w:uiPriority w:val="99"/>
    <w:qFormat/>
    <w:rsid w:val="004F4A49"/>
    <w:rPr>
      <w:sz w:val="18"/>
      <w:szCs w:val="18"/>
    </w:rPr>
  </w:style>
  <w:style w:type="paragraph" w:styleId="a6">
    <w:name w:val="List Paragraph"/>
    <w:basedOn w:val="a"/>
    <w:uiPriority w:val="34"/>
    <w:qFormat/>
    <w:rsid w:val="004F4A4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435</Words>
  <Characters>2481</Characters>
  <Application>Microsoft Office Word</Application>
  <DocSecurity>0</DocSecurity>
  <Lines>20</Lines>
  <Paragraphs>5</Paragraphs>
  <ScaleCrop>false</ScaleCrop>
  <Company>Microsoft</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Administrator</cp:lastModifiedBy>
  <cp:revision>33</cp:revision>
  <cp:lastPrinted>2018-03-02T03:41:00Z</cp:lastPrinted>
  <dcterms:created xsi:type="dcterms:W3CDTF">2018-03-28T03:03:00Z</dcterms:created>
  <dcterms:modified xsi:type="dcterms:W3CDTF">2018-07-02T07:34:00Z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